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F5" w:rsidRPr="004D25C2" w:rsidRDefault="00882BF5" w:rsidP="00B245E0">
      <w:pPr>
        <w:spacing w:line="360" w:lineRule="auto"/>
        <w:rPr>
          <w:b/>
          <w:sz w:val="24"/>
        </w:rPr>
      </w:pPr>
      <w:r w:rsidRPr="004D25C2">
        <w:rPr>
          <w:b/>
          <w:sz w:val="24"/>
        </w:rPr>
        <w:t>MANUÁLNÍ</w:t>
      </w:r>
      <w:r w:rsidRPr="004D25C2">
        <w:rPr>
          <w:b/>
          <w:sz w:val="24"/>
        </w:rPr>
        <w:t xml:space="preserve"> MLÝNEK NA </w:t>
      </w:r>
      <w:r w:rsidRPr="004D25C2">
        <w:rPr>
          <w:b/>
          <w:sz w:val="24"/>
        </w:rPr>
        <w:t>PEPŘ A SŮL</w:t>
      </w:r>
      <w:bookmarkStart w:id="0" w:name="_GoBack"/>
      <w:bookmarkEnd w:id="0"/>
    </w:p>
    <w:p w:rsidR="00882BF5" w:rsidRDefault="00882BF5" w:rsidP="00B245E0">
      <w:pPr>
        <w:spacing w:line="360" w:lineRule="auto"/>
      </w:pPr>
      <w:r>
        <w:t xml:space="preserve">Děkujeme za zakoupení </w:t>
      </w:r>
      <w:r>
        <w:t>manuálního</w:t>
      </w:r>
      <w:r>
        <w:t xml:space="preserve"> mlýnku.</w:t>
      </w:r>
    </w:p>
    <w:p w:rsidR="00882BF5" w:rsidRDefault="00882BF5" w:rsidP="00B245E0">
      <w:pPr>
        <w:spacing w:line="240" w:lineRule="auto"/>
      </w:pPr>
      <w:r>
        <w:t>Přečtěte si pečlivě návod k obsluze.  V</w:t>
      </w:r>
      <w:r w:rsidR="00F50886">
        <w:t xml:space="preserve">ěnujte každému bodu pozornost, </w:t>
      </w:r>
      <w:r>
        <w:t>abyste předešli k poškození výro</w:t>
      </w:r>
      <w:r w:rsidR="00B245E0">
        <w:t>bku vlivem nesprávného použití.</w:t>
      </w:r>
    </w:p>
    <w:p w:rsidR="00882BF5" w:rsidRDefault="00882BF5" w:rsidP="00B245E0">
      <w:pPr>
        <w:spacing w:line="240" w:lineRule="auto"/>
      </w:pPr>
      <w:r>
        <w:t xml:space="preserve">Mechanický ruční mlýnek na pepř a sůl. Oboustranné použití - na každé straně mlýnku lze mít odlišné koření či sůl. </w:t>
      </w:r>
    </w:p>
    <w:p w:rsidR="00C8500D" w:rsidRDefault="00882BF5" w:rsidP="00B245E0">
      <w:pPr>
        <w:spacing w:line="240" w:lineRule="auto"/>
      </w:pPr>
      <w:r>
        <w:t>Rozměry: 5,2 x 22 cm</w:t>
      </w:r>
    </w:p>
    <w:p w:rsidR="00882BF5" w:rsidRDefault="00882BF5" w:rsidP="00B245E0">
      <w:pPr>
        <w:spacing w:line="240" w:lineRule="auto"/>
      </w:pPr>
      <w:r>
        <w:t>Materiál: nerez, plast, keramický mlecí mechanismus</w:t>
      </w:r>
    </w:p>
    <w:p w:rsidR="00882BF5" w:rsidRPr="00F50886" w:rsidRDefault="00882BF5" w:rsidP="00B245E0">
      <w:pPr>
        <w:spacing w:line="276" w:lineRule="auto"/>
        <w:rPr>
          <w:rFonts w:ascii="Calibri" w:hAnsi="Calibri" w:cs="Calibri"/>
          <w:b/>
          <w:sz w:val="24"/>
        </w:rPr>
      </w:pPr>
      <w:r w:rsidRPr="00F50886">
        <w:rPr>
          <w:rFonts w:ascii="Calibri" w:hAnsi="Calibri" w:cs="Calibri"/>
          <w:b/>
          <w:sz w:val="24"/>
        </w:rPr>
        <w:t>Použití a instrukce</w:t>
      </w:r>
      <w:r w:rsidR="00AB0B1E" w:rsidRPr="00F50886">
        <w:rPr>
          <w:rFonts w:ascii="Calibri" w:hAnsi="Calibri" w:cs="Calibri"/>
          <w:b/>
          <w:sz w:val="24"/>
        </w:rPr>
        <w:t>:</w:t>
      </w:r>
    </w:p>
    <w:p w:rsidR="00882BF5" w:rsidRPr="00F50886" w:rsidRDefault="00882BF5" w:rsidP="00B245E0">
      <w:pPr>
        <w:spacing w:line="276" w:lineRule="auto"/>
        <w:rPr>
          <w:rFonts w:ascii="Calibri" w:hAnsi="Calibri" w:cs="Calibri"/>
          <w:u w:val="single"/>
        </w:rPr>
      </w:pPr>
      <w:r w:rsidRPr="00F50886">
        <w:rPr>
          <w:rFonts w:ascii="Calibri" w:hAnsi="Calibri" w:cs="Calibri"/>
          <w:u w:val="single"/>
        </w:rPr>
        <w:t>Před prvním použitím</w:t>
      </w:r>
    </w:p>
    <w:p w:rsidR="00AB0B1E" w:rsidRDefault="00882BF5" w:rsidP="00B245E0">
      <w:pPr>
        <w:spacing w:line="240" w:lineRule="auto"/>
        <w:rPr>
          <w:rFonts w:ascii="Calibri" w:hAnsi="Calibri" w:cs="Calibri"/>
        </w:rPr>
      </w:pPr>
      <w:r w:rsidRPr="00882BF5">
        <w:rPr>
          <w:rFonts w:ascii="Calibri" w:hAnsi="Calibri" w:cs="Calibri"/>
        </w:rPr>
        <w:t>- rozbalte výrobek a sundejte</w:t>
      </w:r>
      <w:r w:rsidR="00AB0B1E">
        <w:rPr>
          <w:rFonts w:ascii="Calibri" w:hAnsi="Calibri" w:cs="Calibri"/>
        </w:rPr>
        <w:t xml:space="preserve"> všechny polepky a papíry kolem</w:t>
      </w:r>
    </w:p>
    <w:p w:rsidR="00882BF5" w:rsidRPr="00AB0B1E" w:rsidRDefault="00882BF5" w:rsidP="00B245E0">
      <w:pPr>
        <w:spacing w:line="240" w:lineRule="auto"/>
        <w:rPr>
          <w:rFonts w:ascii="Calibri" w:hAnsi="Calibri" w:cs="Calibri"/>
        </w:rPr>
      </w:pPr>
      <w:r w:rsidRPr="00882BF5">
        <w:rPr>
          <w:rFonts w:ascii="Calibri" w:hAnsi="Calibri" w:cs="Calibri"/>
        </w:rPr>
        <w:t>- mlýnek otřete vlhkým hadříkem</w:t>
      </w:r>
      <w:r w:rsidR="00AB0B1E">
        <w:rPr>
          <w:rFonts w:ascii="Calibri" w:hAnsi="Calibri" w:cs="Calibri"/>
        </w:rPr>
        <w:t xml:space="preserve">, nesmí </w:t>
      </w:r>
      <w:r w:rsidR="00AB0B1E" w:rsidRPr="00AB0B1E">
        <w:rPr>
          <w:rFonts w:ascii="Calibri" w:hAnsi="Calibri" w:cs="Calibri"/>
        </w:rPr>
        <w:t>p</w:t>
      </w:r>
      <w:r w:rsidR="00AB0B1E" w:rsidRPr="00AB0B1E">
        <w:rPr>
          <w:rFonts w:ascii="Calibri" w:hAnsi="Calibri" w:cs="Calibri"/>
        </w:rPr>
        <w:t>řijít do kontaktu s přímou vodou nebo myčkou na nádobí</w:t>
      </w:r>
    </w:p>
    <w:p w:rsidR="00882BF5" w:rsidRDefault="00882BF5" w:rsidP="00B245E0">
      <w:pPr>
        <w:spacing w:line="240" w:lineRule="auto"/>
        <w:rPr>
          <w:rFonts w:ascii="Calibri" w:hAnsi="Calibri" w:cs="Calibri"/>
        </w:rPr>
      </w:pPr>
      <w:r w:rsidRPr="00882BF5">
        <w:rPr>
          <w:rFonts w:ascii="Calibri" w:hAnsi="Calibri" w:cs="Calibri"/>
        </w:rPr>
        <w:t>- such</w:t>
      </w:r>
      <w:r w:rsidR="00AB0B1E">
        <w:rPr>
          <w:rFonts w:ascii="Calibri" w:hAnsi="Calibri" w:cs="Calibri"/>
        </w:rPr>
        <w:t>ý</w:t>
      </w:r>
      <w:r w:rsidRPr="00882BF5">
        <w:rPr>
          <w:rFonts w:ascii="Calibri" w:hAnsi="Calibri" w:cs="Calibri"/>
        </w:rPr>
        <w:t xml:space="preserve"> </w:t>
      </w:r>
      <w:r w:rsidR="00AB0B1E">
        <w:rPr>
          <w:rFonts w:ascii="Calibri" w:hAnsi="Calibri" w:cs="Calibri"/>
        </w:rPr>
        <w:t>mlýnek</w:t>
      </w:r>
      <w:r w:rsidRPr="00882BF5">
        <w:rPr>
          <w:rFonts w:ascii="Calibri" w:hAnsi="Calibri" w:cs="Calibri"/>
        </w:rPr>
        <w:t xml:space="preserve"> naplňte kořením</w:t>
      </w:r>
    </w:p>
    <w:p w:rsidR="00AB0B1E" w:rsidRPr="00F50886" w:rsidRDefault="00AB0B1E" w:rsidP="00B245E0">
      <w:pPr>
        <w:spacing w:line="276" w:lineRule="auto"/>
        <w:rPr>
          <w:rFonts w:ascii="Calibri" w:hAnsi="Calibri" w:cs="Calibri"/>
          <w:b/>
          <w:sz w:val="24"/>
        </w:rPr>
      </w:pPr>
      <w:r w:rsidRPr="00F50886">
        <w:rPr>
          <w:rFonts w:ascii="Calibri" w:hAnsi="Calibri" w:cs="Calibri"/>
          <w:b/>
          <w:sz w:val="24"/>
        </w:rPr>
        <w:t>Plnění mlýnku:</w:t>
      </w:r>
    </w:p>
    <w:p w:rsidR="00F50886" w:rsidRDefault="00AB0B1E" w:rsidP="00B245E0">
      <w:pPr>
        <w:spacing w:line="276" w:lineRule="auto"/>
        <w:rPr>
          <w:rFonts w:cstheme="minorHAnsi"/>
        </w:rPr>
      </w:pPr>
      <w:r w:rsidRPr="00AB0B1E">
        <w:rPr>
          <w:rFonts w:ascii="Calibri" w:hAnsi="Calibri" w:cs="Calibri"/>
        </w:rPr>
        <w:t>-</w:t>
      </w:r>
      <w:r w:rsidRPr="00AB0B1E">
        <w:rPr>
          <w:rFonts w:cstheme="minorHAnsi"/>
        </w:rPr>
        <w:t xml:space="preserve"> nerezové tělo </w:t>
      </w:r>
      <w:r>
        <w:rPr>
          <w:rFonts w:cstheme="minorHAnsi"/>
        </w:rPr>
        <w:t>od plastového transparentního odšroubujte</w:t>
      </w:r>
      <w:r w:rsidRPr="00AB0B1E">
        <w:rPr>
          <w:rFonts w:cstheme="minorHAnsi"/>
        </w:rPr>
        <w:t xml:space="preserve"> za pomoci pootočení proti směru </w:t>
      </w:r>
      <w:r w:rsidR="00F50886">
        <w:rPr>
          <w:rFonts w:cstheme="minorHAnsi"/>
        </w:rPr>
        <w:t xml:space="preserve">   ¨   </w:t>
      </w:r>
    </w:p>
    <w:p w:rsidR="00AB0B1E" w:rsidRDefault="00F50886" w:rsidP="00B245E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AB0B1E" w:rsidRPr="00AB0B1E">
        <w:rPr>
          <w:rFonts w:cstheme="minorHAnsi"/>
        </w:rPr>
        <w:t>hodinových ru</w:t>
      </w:r>
      <w:r w:rsidR="00AB0B1E">
        <w:rPr>
          <w:rFonts w:cstheme="minorHAnsi"/>
        </w:rPr>
        <w:t>čiček</w:t>
      </w:r>
    </w:p>
    <w:p w:rsidR="00AB0B1E" w:rsidRPr="00AB0B1E" w:rsidRDefault="00AB0B1E" w:rsidP="00B245E0">
      <w:pPr>
        <w:spacing w:line="240" w:lineRule="auto"/>
        <w:rPr>
          <w:rFonts w:ascii="Calibri" w:hAnsi="Calibri" w:cs="Calibri"/>
        </w:rPr>
      </w:pPr>
      <w:r>
        <w:rPr>
          <w:rFonts w:cstheme="minorHAnsi"/>
        </w:rPr>
        <w:t>- o</w:t>
      </w:r>
      <w:r w:rsidRPr="00AB0B1E">
        <w:rPr>
          <w:rFonts w:cstheme="minorHAnsi"/>
        </w:rPr>
        <w:t>tvorem pro plnění nasypte do zásobníku obsah koření</w:t>
      </w:r>
      <w:r w:rsidR="00F50886">
        <w:rPr>
          <w:rFonts w:cstheme="minorHAnsi"/>
        </w:rPr>
        <w:t>, nepřeplňujte</w:t>
      </w:r>
    </w:p>
    <w:p w:rsidR="00F50886" w:rsidRDefault="00AB0B1E" w:rsidP="00B245E0">
      <w:pPr>
        <w:spacing w:line="240" w:lineRule="auto"/>
        <w:rPr>
          <w:rFonts w:ascii="Calibri" w:hAnsi="Calibri" w:cs="Calibri"/>
        </w:rPr>
      </w:pPr>
      <w:r w:rsidRPr="00AB0B1E">
        <w:rPr>
          <w:rFonts w:ascii="Calibri" w:hAnsi="Calibri" w:cs="Calibri"/>
        </w:rPr>
        <w:t xml:space="preserve">- </w:t>
      </w:r>
      <w:r w:rsidR="00F50886">
        <w:rPr>
          <w:rFonts w:ascii="Calibri" w:hAnsi="Calibri" w:cs="Calibri"/>
        </w:rPr>
        <w:t>po naplnění t</w:t>
      </w:r>
      <w:r w:rsidR="00F50886" w:rsidRPr="00F50886">
        <w:rPr>
          <w:rFonts w:ascii="Calibri" w:hAnsi="Calibri" w:cs="Calibri"/>
        </w:rPr>
        <w:t xml:space="preserve">ělo mlýnku nasaďte zpět a pootočením po směru </w:t>
      </w:r>
      <w:r w:rsidR="00F50886">
        <w:rPr>
          <w:rFonts w:ascii="Calibri" w:hAnsi="Calibri" w:cs="Calibri"/>
        </w:rPr>
        <w:t>hodinových ručiček je lehkým</w:t>
      </w:r>
    </w:p>
    <w:p w:rsidR="00882BF5" w:rsidRPr="00F50886" w:rsidRDefault="00F50886" w:rsidP="00B245E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dotažením uzavřete</w:t>
      </w:r>
    </w:p>
    <w:p w:rsidR="00AB0B1E" w:rsidRPr="00F50886" w:rsidRDefault="00AB0B1E" w:rsidP="00B245E0">
      <w:pPr>
        <w:spacing w:line="276" w:lineRule="auto"/>
        <w:rPr>
          <w:b/>
        </w:rPr>
      </w:pPr>
      <w:r w:rsidRPr="00F50886">
        <w:rPr>
          <w:b/>
        </w:rPr>
        <w:t>Nastavení hrubosti mletí</w:t>
      </w:r>
    </w:p>
    <w:p w:rsidR="00F50886" w:rsidRDefault="00F50886" w:rsidP="00B245E0">
      <w:pPr>
        <w:spacing w:line="240" w:lineRule="auto"/>
        <w:rPr>
          <w:rFonts w:ascii="Calibri" w:hAnsi="Calibri" w:cs="Calibri"/>
        </w:rPr>
      </w:pPr>
      <w:r>
        <w:t xml:space="preserve">- </w:t>
      </w:r>
      <w:r>
        <w:rPr>
          <w:rFonts w:ascii="Calibri" w:hAnsi="Calibri" w:cs="Calibri"/>
        </w:rPr>
        <w:t>o</w:t>
      </w:r>
      <w:r w:rsidRPr="00F50886">
        <w:rPr>
          <w:rFonts w:ascii="Calibri" w:hAnsi="Calibri" w:cs="Calibri"/>
        </w:rPr>
        <w:t xml:space="preserve">dstraňte víčko chránící mlecí </w:t>
      </w:r>
      <w:r>
        <w:rPr>
          <w:rFonts w:ascii="Calibri" w:hAnsi="Calibri" w:cs="Calibri"/>
        </w:rPr>
        <w:t>mechanismus</w:t>
      </w:r>
    </w:p>
    <w:p w:rsidR="00F50886" w:rsidRDefault="00F50886" w:rsidP="00B245E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n</w:t>
      </w:r>
      <w:r w:rsidRPr="00F50886">
        <w:rPr>
          <w:rFonts w:ascii="Calibri" w:hAnsi="Calibri" w:cs="Calibri"/>
        </w:rPr>
        <w:t xml:space="preserve">astavte odpovídající hrubost </w:t>
      </w:r>
      <w:r>
        <w:rPr>
          <w:rFonts w:ascii="Calibri" w:hAnsi="Calibri" w:cs="Calibri"/>
        </w:rPr>
        <w:t>pomocí regulačního</w:t>
      </w:r>
      <w:r w:rsidRPr="00F50886">
        <w:rPr>
          <w:rFonts w:ascii="Calibri" w:hAnsi="Calibri" w:cs="Calibri"/>
        </w:rPr>
        <w:t xml:space="preserve"> knoflíku, který se nachází nad mlecí hlavou</w:t>
      </w:r>
    </w:p>
    <w:p w:rsidR="00F50886" w:rsidRDefault="00F50886" w:rsidP="00B245E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F5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povolování regulačního knoflíku znamená hrubš</w:t>
      </w:r>
      <w:r w:rsidRPr="00F50886">
        <w:rPr>
          <w:rFonts w:ascii="Calibri" w:hAnsi="Calibri" w:cs="Calibri"/>
        </w:rPr>
        <w:t xml:space="preserve">í mletí a utahování </w:t>
      </w:r>
      <w:r>
        <w:rPr>
          <w:rFonts w:ascii="Calibri" w:hAnsi="Calibri" w:cs="Calibri"/>
        </w:rPr>
        <w:t>knoflíku</w:t>
      </w:r>
      <w:r w:rsidRPr="00F5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jemné mletí</w:t>
      </w:r>
    </w:p>
    <w:p w:rsidR="00AB0B1E" w:rsidRDefault="00F50886" w:rsidP="00B245E0">
      <w:pPr>
        <w:spacing w:line="240" w:lineRule="auto"/>
        <w:rPr>
          <w:rFonts w:ascii="Calibri" w:hAnsi="Calibri" w:cs="Calibri"/>
        </w:rPr>
      </w:pPr>
      <w:r w:rsidRPr="00F50886">
        <w:rPr>
          <w:rFonts w:ascii="Calibri" w:hAnsi="Calibri" w:cs="Calibri"/>
          <w:b/>
        </w:rPr>
        <w:t>POZOR</w:t>
      </w:r>
      <w:r>
        <w:rPr>
          <w:rFonts w:ascii="Calibri" w:hAnsi="Calibri" w:cs="Calibri"/>
          <w:b/>
        </w:rPr>
        <w:t>!</w:t>
      </w:r>
      <w:r w:rsidRPr="00F50886">
        <w:rPr>
          <w:rFonts w:ascii="Calibri" w:hAnsi="Calibri" w:cs="Calibri"/>
        </w:rPr>
        <w:t xml:space="preserve"> </w:t>
      </w:r>
      <w:r w:rsidR="002615D7">
        <w:rPr>
          <w:rFonts w:ascii="Calibri" w:hAnsi="Calibri" w:cs="Calibri"/>
        </w:rPr>
        <w:t>Nikdy nedotahujte</w:t>
      </w:r>
      <w:r w:rsidRPr="00F50886">
        <w:rPr>
          <w:rFonts w:ascii="Calibri" w:hAnsi="Calibri" w:cs="Calibri"/>
        </w:rPr>
        <w:t xml:space="preserve"> </w:t>
      </w:r>
      <w:r w:rsidR="002615D7">
        <w:rPr>
          <w:rFonts w:ascii="Calibri" w:hAnsi="Calibri" w:cs="Calibri"/>
        </w:rPr>
        <w:t>knoflík</w:t>
      </w:r>
      <w:r w:rsidRPr="00F50886">
        <w:rPr>
          <w:rFonts w:ascii="Calibri" w:hAnsi="Calibri" w:cs="Calibri"/>
        </w:rPr>
        <w:t xml:space="preserve"> do krajních poloh obou stran, aby nedošlo k poškození mlecího mechanismu</w:t>
      </w:r>
    </w:p>
    <w:p w:rsidR="00B245E0" w:rsidRDefault="002615D7" w:rsidP="00B245E0">
      <w:pPr>
        <w:spacing w:line="276" w:lineRule="auto"/>
      </w:pPr>
      <w:r>
        <w:t xml:space="preserve">Nyní můžete mlýnek použít nad pokrmem pomocí otáčení </w:t>
      </w:r>
      <w:r w:rsidR="00B245E0">
        <w:t xml:space="preserve"> nerezového těla.</w:t>
      </w:r>
    </w:p>
    <w:p w:rsidR="00F50886" w:rsidRPr="00F50886" w:rsidRDefault="00F50886" w:rsidP="00B245E0">
      <w:pPr>
        <w:spacing w:line="276" w:lineRule="auto"/>
        <w:rPr>
          <w:b/>
        </w:rPr>
      </w:pPr>
      <w:r w:rsidRPr="00F50886">
        <w:rPr>
          <w:b/>
        </w:rPr>
        <w:t>Čištění:</w:t>
      </w:r>
    </w:p>
    <w:p w:rsidR="00F50886" w:rsidRDefault="00F50886" w:rsidP="00B245E0">
      <w:pPr>
        <w:spacing w:line="240" w:lineRule="auto"/>
      </w:pPr>
      <w:r>
        <w:t>- vnější část mlýn</w:t>
      </w:r>
      <w:r w:rsidR="00B245E0">
        <w:t xml:space="preserve">ku otírejte pouze měkkým vlhkým </w:t>
      </w:r>
      <w:r>
        <w:t>hadříkem</w:t>
      </w:r>
    </w:p>
    <w:p w:rsidR="00F50886" w:rsidRDefault="00F50886" w:rsidP="00B245E0">
      <w:pPr>
        <w:spacing w:line="240" w:lineRule="auto"/>
      </w:pPr>
      <w:r>
        <w:t>- nikdy nenamáčejte celý mlýnek ve vodě</w:t>
      </w:r>
    </w:p>
    <w:p w:rsidR="00F120EA" w:rsidRPr="00F120EA" w:rsidRDefault="00F120EA" w:rsidP="00F120EA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v</w:t>
      </w:r>
      <w:r w:rsidRPr="00F120EA">
        <w:rPr>
          <w:rFonts w:ascii="Calibri" w:hAnsi="Calibri" w:cs="Calibri"/>
        </w:rPr>
        <w:t xml:space="preserve"> případě potřeby pročištění mlecí část</w:t>
      </w:r>
      <w:r>
        <w:rPr>
          <w:rFonts w:ascii="Calibri" w:hAnsi="Calibri" w:cs="Calibri"/>
        </w:rPr>
        <w:t>i,</w:t>
      </w:r>
      <w:r w:rsidRPr="00F120EA">
        <w:rPr>
          <w:rFonts w:ascii="Calibri" w:hAnsi="Calibri" w:cs="Calibri"/>
        </w:rPr>
        <w:t xml:space="preserve"> pročistěte štětečke</w:t>
      </w:r>
      <w:r>
        <w:rPr>
          <w:rFonts w:ascii="Calibri" w:hAnsi="Calibri" w:cs="Calibri"/>
        </w:rPr>
        <w:t>m nebo profoukněte</w:t>
      </w:r>
    </w:p>
    <w:p w:rsidR="00F50886" w:rsidRDefault="00F50886" w:rsidP="00B245E0">
      <w:pPr>
        <w:spacing w:line="240" w:lineRule="auto"/>
      </w:pPr>
      <w:r>
        <w:t>- nenechávejte mlýnek na vlhkých místech</w:t>
      </w:r>
    </w:p>
    <w:p w:rsidR="004743CF" w:rsidRDefault="004743CF" w:rsidP="00B245E0">
      <w:pPr>
        <w:spacing w:line="240" w:lineRule="auto"/>
      </w:pPr>
    </w:p>
    <w:p w:rsidR="00472BD0" w:rsidRPr="00472BD0" w:rsidRDefault="004743CF" w:rsidP="00472BD0">
      <w:pPr>
        <w:jc w:val="both"/>
      </w:pPr>
      <w:r w:rsidRPr="00BA1BFE">
        <w:rPr>
          <w:b/>
        </w:rPr>
        <w:lastRenderedPageBreak/>
        <w:t>Záruka:</w:t>
      </w:r>
      <w:r>
        <w:t xml:space="preserve"> Na tento výrobek je poskytována záruka </w:t>
      </w:r>
      <w:r>
        <w:t>2</w:t>
      </w:r>
      <w:r>
        <w:t xml:space="preserve"> roky od data nákupu, pokud je používán podle pokynů pro péči a použití. To znamená, že položka bude bezplatně opravena nebo vyměněna, pokud se zjistí, že je vadná kvůli vadným materiálům nebo výrobě během používání v domácnosti. V případě výměny, pokud vadný výrobek již </w:t>
      </w:r>
      <w:r w:rsidR="00A32894">
        <w:t>není k dispozici, si společnost</w:t>
      </w:r>
      <w:r>
        <w:t xml:space="preserve"> vyhrazuje právo vyměnit zboží za podobný výrobek. Tato záruka se nevztahuje </w:t>
      </w:r>
      <w:proofErr w:type="gramStart"/>
      <w:r>
        <w:t>na</w:t>
      </w:r>
      <w:proofErr w:type="gramEnd"/>
      <w:r>
        <w:t xml:space="preserve">: vady způsobené nedbalostí, zneužitím, komerčním použitím a / nebo běžným opotřebením. V nepravděpodobném případě, že by došlo k poruše, jednoduše vraťte tento </w:t>
      </w:r>
      <w:r w:rsidR="00A32894">
        <w:t>mlýnek</w:t>
      </w:r>
      <w:r>
        <w:t xml:space="preserve"> do příslušného obchodu spolu s dokladem o nákupu a balení.</w:t>
      </w:r>
    </w:p>
    <w:p w:rsidR="00472BD0" w:rsidRDefault="00472BD0" w:rsidP="00472BD0">
      <w:pPr>
        <w:autoSpaceDE w:val="0"/>
        <w:autoSpaceDN w:val="0"/>
        <w:adjustRightInd w:val="0"/>
        <w:rPr>
          <w:rFonts w:ascii="Arial" w:eastAsia="MyriadPro-BoldCond" w:hAnsi="Arial" w:cs="Arial"/>
          <w:b/>
          <w:bCs/>
          <w:sz w:val="28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BoldCond" w:hAnsi="Arial" w:cs="Arial"/>
          <w:b/>
          <w:bCs/>
          <w:sz w:val="28"/>
        </w:rPr>
      </w:pPr>
      <w:r>
        <w:rPr>
          <w:rFonts w:ascii="Arial" w:eastAsia="MyriadPro-BoldCond" w:hAnsi="Arial" w:cs="Arial"/>
          <w:b/>
          <w:bCs/>
          <w:sz w:val="28"/>
        </w:rPr>
        <w:t>ZARUČNÍ</w:t>
      </w:r>
      <w:r w:rsidRPr="009238AA">
        <w:rPr>
          <w:rFonts w:ascii="Arial" w:eastAsia="MyriadPro-BoldCond" w:hAnsi="Arial" w:cs="Arial"/>
          <w:b/>
          <w:bCs/>
          <w:sz w:val="28"/>
        </w:rPr>
        <w:t xml:space="preserve"> LIST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 xml:space="preserve">Na tento výrobek je poskytována záruční doba </w:t>
      </w:r>
      <w:r>
        <w:rPr>
          <w:rFonts w:ascii="Arial" w:eastAsia="MyriadPro-BoldCond" w:hAnsi="Arial" w:cs="Arial"/>
          <w:b/>
          <w:bCs/>
        </w:rPr>
        <w:t>2</w:t>
      </w:r>
      <w:r w:rsidRPr="009238AA">
        <w:rPr>
          <w:rFonts w:ascii="Arial" w:eastAsia="MyriadPro-BoldCond" w:hAnsi="Arial" w:cs="Arial"/>
          <w:b/>
          <w:bCs/>
        </w:rPr>
        <w:t xml:space="preserve"> roky </w:t>
      </w:r>
      <w:r w:rsidRPr="009238AA">
        <w:rPr>
          <w:rFonts w:ascii="Arial" w:eastAsia="MyriadPro-Cond" w:hAnsi="Arial" w:cs="Arial"/>
        </w:rPr>
        <w:t>ode dne prodeje.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>Zá</w:t>
      </w:r>
      <w:r>
        <w:rPr>
          <w:rFonts w:ascii="Arial" w:eastAsia="MyriadPro-Cond" w:hAnsi="Arial" w:cs="Arial"/>
        </w:rPr>
        <w:t>ruční doba začíná dnem prodeje.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>Razítko prodejny: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89535</wp:posOffset>
                </wp:positionV>
                <wp:extent cx="2615565" cy="1079500"/>
                <wp:effectExtent l="0" t="0" r="13335" b="254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5565" cy="1079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5ADE" id="Obdélník 1" o:spid="_x0000_s1026" style="position:absolute;margin-left:2.8pt;margin-top:7.05pt;width:205.9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" filled="f" strokecolor="#385d8a" strokeweight=".25pt">
                <v:path arrowok="t"/>
              </v:rect>
            </w:pict>
          </mc:Fallback>
        </mc:AlternateConten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>Datum prodeje: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>Razítko a podpis prodejce: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99695</wp:posOffset>
                </wp:positionV>
                <wp:extent cx="2615565" cy="1079500"/>
                <wp:effectExtent l="0" t="0" r="13335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5565" cy="1079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CF2A" id="Obdélník 2" o:spid="_x0000_s1026" style="position:absolute;margin-left:2.8pt;margin-top:7.85pt;width:205.9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" filled="f" strokecolor="#385d8a" strokeweight=".25pt">
                <v:path arrowok="t"/>
              </v:rect>
            </w:pict>
          </mc:Fallback>
        </mc:AlternateConten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472BD0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Bold" w:hAnsi="Arial" w:cs="Arial"/>
          <w:b/>
          <w:bCs/>
          <w:color w:val="282828"/>
        </w:rPr>
        <w:t xml:space="preserve">Tato smluvní </w:t>
      </w:r>
      <w:r>
        <w:rPr>
          <w:rFonts w:ascii="Arial" w:eastAsia="MyriadPro-Bold" w:hAnsi="Arial" w:cs="Arial"/>
          <w:b/>
          <w:bCs/>
          <w:color w:val="282828"/>
        </w:rPr>
        <w:t>záruka bude uznaná po předložení</w:t>
      </w:r>
      <w:r w:rsidRPr="009238AA">
        <w:rPr>
          <w:rFonts w:ascii="Arial" w:eastAsia="MyriadPro-Bold" w:hAnsi="Arial" w:cs="Arial"/>
          <w:b/>
          <w:bCs/>
          <w:color w:val="282828"/>
        </w:rPr>
        <w:t xml:space="preserve"> pokladního dokladu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Bold" w:hAnsi="Arial" w:cs="Arial"/>
          <w:b/>
          <w:bCs/>
          <w:color w:val="282828"/>
        </w:rPr>
      </w:pPr>
      <w:r w:rsidRPr="009238AA">
        <w:rPr>
          <w:rFonts w:ascii="Arial" w:eastAsia="MyriadPro-Bold" w:hAnsi="Arial" w:cs="Arial"/>
          <w:b/>
          <w:bCs/>
          <w:color w:val="282828"/>
        </w:rPr>
        <w:t>nebo faktury s uvedením data nákupu.</w:t>
      </w: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</w:p>
    <w:p w:rsidR="00472BD0" w:rsidRPr="009238AA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>Oprávněnou reklamaci uplatňujte u prodejce, u kterého jste výrobek zakoupili nebo</w:t>
      </w:r>
    </w:p>
    <w:p w:rsidR="004743CF" w:rsidRPr="00472BD0" w:rsidRDefault="00472BD0" w:rsidP="00472BD0">
      <w:pPr>
        <w:autoSpaceDE w:val="0"/>
        <w:autoSpaceDN w:val="0"/>
        <w:adjustRightInd w:val="0"/>
        <w:rPr>
          <w:rFonts w:ascii="Arial" w:eastAsia="MyriadPro-Cond" w:hAnsi="Arial" w:cs="Arial"/>
        </w:rPr>
      </w:pPr>
      <w:r w:rsidRPr="009238AA">
        <w:rPr>
          <w:rFonts w:ascii="Arial" w:eastAsia="MyriadPro-Cond" w:hAnsi="Arial" w:cs="Arial"/>
        </w:rPr>
        <w:t xml:space="preserve">přímo v prodejnách </w:t>
      </w:r>
      <w:proofErr w:type="spellStart"/>
      <w:r w:rsidRPr="009238AA">
        <w:rPr>
          <w:rFonts w:ascii="Arial" w:eastAsia="MyriadPro-Cond" w:hAnsi="Arial" w:cs="Arial"/>
        </w:rPr>
        <w:t>Kitos</w:t>
      </w:r>
      <w:proofErr w:type="spellEnd"/>
      <w:r w:rsidRPr="009238AA">
        <w:rPr>
          <w:rFonts w:ascii="Arial" w:eastAsia="MyriadPro-Cond" w:hAnsi="Arial" w:cs="Arial"/>
        </w:rPr>
        <w:t xml:space="preserve">. Aktuální seznam středisek naleznete na  </w:t>
      </w:r>
      <w:hyperlink r:id="rId4" w:history="1">
        <w:r w:rsidRPr="009238AA">
          <w:rPr>
            <w:rStyle w:val="Hypertextovodkaz"/>
            <w:rFonts w:ascii="Arial" w:eastAsia="MyriadPro-Cond" w:hAnsi="Arial" w:cs="Arial"/>
            <w:b/>
          </w:rPr>
          <w:t>www.kitos.cz</w:t>
        </w:r>
      </w:hyperlink>
    </w:p>
    <w:sectPr w:rsidR="004743CF" w:rsidRPr="0047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F5"/>
    <w:rsid w:val="002615D7"/>
    <w:rsid w:val="00472BD0"/>
    <w:rsid w:val="004743CF"/>
    <w:rsid w:val="004D25C2"/>
    <w:rsid w:val="00882BF5"/>
    <w:rsid w:val="00A32894"/>
    <w:rsid w:val="00AB0B1E"/>
    <w:rsid w:val="00B245E0"/>
    <w:rsid w:val="00C8500D"/>
    <w:rsid w:val="00DA0851"/>
    <w:rsid w:val="00E547A7"/>
    <w:rsid w:val="00EF0992"/>
    <w:rsid w:val="00F120EA"/>
    <w:rsid w:val="00F5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8742"/>
  <w15:chartTrackingRefBased/>
  <w15:docId w15:val="{E71C0474-2264-4C3B-AAB6-95EB0DEB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t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Sládková</dc:creator>
  <cp:keywords/>
  <dc:description/>
  <cp:lastModifiedBy>Denisa Sládková</cp:lastModifiedBy>
  <cp:revision>10</cp:revision>
  <dcterms:created xsi:type="dcterms:W3CDTF">2021-01-25T11:25:00Z</dcterms:created>
  <dcterms:modified xsi:type="dcterms:W3CDTF">2021-01-25T12:04:00Z</dcterms:modified>
</cp:coreProperties>
</file>